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D924A8" w14:paraId="42CACFE9" w14:textId="77777777" w:rsidTr="001E7453">
        <w:trPr>
          <w:trHeight w:val="1440"/>
        </w:trPr>
        <w:tc>
          <w:tcPr>
            <w:tcW w:w="2381" w:type="dxa"/>
            <w:tcBorders>
              <w:top w:val="nil"/>
              <w:left w:val="nil"/>
              <w:bottom w:val="nil"/>
              <w:right w:val="nil"/>
            </w:tcBorders>
          </w:tcPr>
          <w:p w14:paraId="17344B95" w14:textId="77777777" w:rsidR="00D924A8" w:rsidRDefault="00D924A8" w:rsidP="001E7453">
            <w:pPr>
              <w:pStyle w:val="ZCom"/>
            </w:pPr>
            <w:r>
              <w:rPr>
                <w:noProof/>
                <w:sz w:val="20"/>
                <w:szCs w:val="20"/>
                <w:lang w:val="en-IE" w:eastAsia="en-IE"/>
              </w:rPr>
              <w:drawing>
                <wp:inline distT="0" distB="0" distL="0" distR="0" wp14:anchorId="188906DF" wp14:editId="5BD96B0F">
                  <wp:extent cx="1371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tc>
        <w:tc>
          <w:tcPr>
            <w:tcW w:w="7087" w:type="dxa"/>
            <w:tcBorders>
              <w:top w:val="nil"/>
              <w:left w:val="nil"/>
              <w:bottom w:val="nil"/>
              <w:right w:val="nil"/>
            </w:tcBorders>
          </w:tcPr>
          <w:p w14:paraId="4C4458A9" w14:textId="77777777" w:rsidR="00D924A8" w:rsidRPr="00BA6DA9" w:rsidRDefault="00D924A8" w:rsidP="001E7453">
            <w:pPr>
              <w:pStyle w:val="ZCom"/>
              <w:spacing w:before="90"/>
              <w:rPr>
                <w:rFonts w:ascii="Times New Roman" w:hAnsi="Times New Roman" w:cs="Times New Roman"/>
              </w:rPr>
            </w:pPr>
            <w:r w:rsidRPr="00BA6DA9">
              <w:rPr>
                <w:rFonts w:ascii="Times New Roman" w:hAnsi="Times New Roman" w:cs="Times New Roman"/>
              </w:rPr>
              <w:t>EUROPEAN COMMISSION</w:t>
            </w:r>
          </w:p>
          <w:p w14:paraId="750A3ACF" w14:textId="77777777" w:rsidR="00D924A8" w:rsidRPr="00BA6DA9" w:rsidRDefault="00D924A8" w:rsidP="001E7453">
            <w:pPr>
              <w:pStyle w:val="ZDGName"/>
              <w:rPr>
                <w:rFonts w:ascii="Times New Roman" w:hAnsi="Times New Roman" w:cs="Times New Roman"/>
              </w:rPr>
            </w:pPr>
            <w:r w:rsidRPr="00BA6DA9">
              <w:rPr>
                <w:rFonts w:ascii="Times New Roman" w:hAnsi="Times New Roman" w:cs="Times New Roman"/>
              </w:rPr>
              <w:t>Executive Agency for Small and Medium-sized Enterprises (EASME)</w:t>
            </w:r>
          </w:p>
          <w:p w14:paraId="247F1B3A" w14:textId="77777777" w:rsidR="00D924A8" w:rsidRDefault="00D924A8" w:rsidP="001E7453">
            <w:pPr>
              <w:pStyle w:val="ZDGName"/>
            </w:pPr>
          </w:p>
          <w:p w14:paraId="3B4435A5" w14:textId="77777777" w:rsidR="00D924A8" w:rsidRDefault="00D924A8" w:rsidP="001E7453">
            <w:pPr>
              <w:pStyle w:val="ZDGName"/>
            </w:pPr>
          </w:p>
        </w:tc>
      </w:tr>
    </w:tbl>
    <w:p w14:paraId="7996F6BB" w14:textId="7CD4526A" w:rsidR="00D924A8" w:rsidRPr="00BE7FF4" w:rsidRDefault="00D924A8" w:rsidP="00D924A8">
      <w:pPr>
        <w:spacing w:after="0"/>
        <w:jc w:val="center"/>
        <w:rPr>
          <w:color w:val="8496B0" w:themeColor="text2" w:themeTint="99"/>
        </w:rPr>
      </w:pPr>
      <w:r w:rsidRPr="00BE7FF4">
        <w:rPr>
          <w:b/>
          <w:szCs w:val="24"/>
        </w:rPr>
        <w:t xml:space="preserve">Data Protection Notice </w:t>
      </w:r>
      <w:r w:rsidRPr="00706BF9">
        <w:rPr>
          <w:b/>
          <w:szCs w:val="24"/>
        </w:rPr>
        <w:t>for</w:t>
      </w:r>
      <w:r w:rsidR="00706BF9" w:rsidRPr="00706BF9">
        <w:rPr>
          <w:b/>
          <w:szCs w:val="24"/>
        </w:rPr>
        <w:t xml:space="preserve"> the </w:t>
      </w:r>
      <w:bookmarkStart w:id="0" w:name="_Hlk66114537"/>
      <w:r w:rsidR="00706BF9" w:rsidRPr="00706BF9">
        <w:rPr>
          <w:b/>
          <w:szCs w:val="24"/>
        </w:rPr>
        <w:t>Matchmaking Event - Towards COVID-19 vaccines upscale production</w:t>
      </w:r>
      <w:bookmarkEnd w:id="0"/>
      <w:r w:rsidRPr="00706BF9">
        <w:rPr>
          <w:szCs w:val="24"/>
        </w:rPr>
        <w:t>, 29</w:t>
      </w:r>
      <w:r w:rsidRPr="00706BF9">
        <w:rPr>
          <w:szCs w:val="24"/>
          <w:vertAlign w:val="superscript"/>
        </w:rPr>
        <w:t>th</w:t>
      </w:r>
      <w:r w:rsidRPr="00706BF9">
        <w:rPr>
          <w:szCs w:val="24"/>
        </w:rPr>
        <w:t xml:space="preserve"> and 31</w:t>
      </w:r>
      <w:r w:rsidRPr="00706BF9">
        <w:rPr>
          <w:szCs w:val="24"/>
          <w:vertAlign w:val="superscript"/>
        </w:rPr>
        <w:t>st</w:t>
      </w:r>
      <w:r w:rsidRPr="00706BF9">
        <w:rPr>
          <w:szCs w:val="24"/>
        </w:rPr>
        <w:t xml:space="preserve"> of March 2021</w:t>
      </w:r>
    </w:p>
    <w:p w14:paraId="2F846303" w14:textId="77777777" w:rsidR="00D924A8" w:rsidRPr="00BE7FF4" w:rsidRDefault="00D924A8" w:rsidP="00D924A8">
      <w:pPr>
        <w:spacing w:after="0"/>
        <w:rPr>
          <w:b/>
        </w:rPr>
      </w:pPr>
    </w:p>
    <w:p w14:paraId="04D74655" w14:textId="77777777" w:rsidR="00D924A8" w:rsidRPr="00BE7FF4" w:rsidRDefault="00D924A8" w:rsidP="00D924A8">
      <w:pPr>
        <w:spacing w:after="0"/>
        <w:rPr>
          <w:szCs w:val="24"/>
        </w:rPr>
      </w:pPr>
      <w:r w:rsidRPr="00BE7FF4">
        <w:rPr>
          <w:b/>
        </w:rPr>
        <w:t xml:space="preserve">Your </w:t>
      </w:r>
      <w:r w:rsidRPr="00BE7FF4">
        <w:rPr>
          <w:b/>
          <w:szCs w:val="24"/>
        </w:rPr>
        <w:t>personal data</w:t>
      </w:r>
      <w:r w:rsidRPr="00BE7FF4">
        <w:rPr>
          <w:szCs w:val="24"/>
        </w:rPr>
        <w:t xml:space="preserve"> is processed in accordance with </w:t>
      </w:r>
      <w:r w:rsidRPr="00BE7FF4">
        <w:rPr>
          <w:b/>
          <w:szCs w:val="24"/>
        </w:rPr>
        <w:t>Regulation (EU) No 2018/1725</w:t>
      </w:r>
      <w:r w:rsidRPr="00BE7FF4">
        <w:rPr>
          <w:rStyle w:val="Refdenotaderodap"/>
          <w:szCs w:val="24"/>
        </w:rPr>
        <w:footnoteReference w:id="1"/>
      </w:r>
      <w:r w:rsidRPr="00BE7FF4">
        <w:rPr>
          <w:szCs w:val="24"/>
        </w:rPr>
        <w:t xml:space="preserve"> on the protection of individuals with regard to the processing of personal data by the Union institutions, bodies, offices and agencies and on the free movement of such data.</w:t>
      </w:r>
    </w:p>
    <w:p w14:paraId="51B1CEFE" w14:textId="77777777" w:rsidR="00D924A8" w:rsidRPr="00BE7FF4" w:rsidRDefault="00D924A8" w:rsidP="00D924A8">
      <w:pPr>
        <w:spacing w:after="0"/>
        <w:rPr>
          <w:szCs w:val="24"/>
        </w:rPr>
      </w:pPr>
    </w:p>
    <w:p w14:paraId="2D5ED53E" w14:textId="77777777" w:rsidR="005D6969" w:rsidRDefault="00D924A8" w:rsidP="00440AA8">
      <w:pPr>
        <w:spacing w:after="0"/>
        <w:rPr>
          <w:szCs w:val="24"/>
        </w:rPr>
      </w:pPr>
      <w:r w:rsidRPr="00BE7FF4">
        <w:rPr>
          <w:b/>
          <w:szCs w:val="24"/>
        </w:rPr>
        <w:t>The data controller</w:t>
      </w:r>
      <w:r w:rsidRPr="00BE7FF4">
        <w:rPr>
          <w:szCs w:val="24"/>
        </w:rPr>
        <w:t xml:space="preserve"> of the processing operation is </w:t>
      </w:r>
      <w:r w:rsidRPr="00481FA9">
        <w:rPr>
          <w:szCs w:val="24"/>
        </w:rPr>
        <w:t xml:space="preserve">of the processing operation is </w:t>
      </w:r>
      <w:r w:rsidRPr="00280EC1">
        <w:rPr>
          <w:szCs w:val="24"/>
        </w:rPr>
        <w:t>Head of Unit A1 (COSME</w:t>
      </w:r>
      <w:r>
        <w:rPr>
          <w:rStyle w:val="Refdenotaderodap"/>
          <w:szCs w:val="24"/>
        </w:rPr>
        <w:footnoteReference w:id="2"/>
      </w:r>
      <w:r w:rsidRPr="00280EC1">
        <w:rPr>
          <w:szCs w:val="24"/>
        </w:rPr>
        <w:t xml:space="preserve">) </w:t>
      </w:r>
      <w:r w:rsidRPr="00481FA9">
        <w:rPr>
          <w:szCs w:val="24"/>
        </w:rPr>
        <w:t>of the Executive Agency for Small and Me</w:t>
      </w:r>
      <w:r>
        <w:rPr>
          <w:szCs w:val="24"/>
        </w:rPr>
        <w:t xml:space="preserve">dium-sized Enterprises </w:t>
      </w:r>
    </w:p>
    <w:p w14:paraId="2A2785BD" w14:textId="24315A50" w:rsidR="00D924A8" w:rsidRPr="00BE7FF4" w:rsidRDefault="00D924A8" w:rsidP="00440AA8">
      <w:pPr>
        <w:spacing w:after="0"/>
        <w:rPr>
          <w:szCs w:val="24"/>
        </w:rPr>
      </w:pPr>
      <w:r>
        <w:rPr>
          <w:szCs w:val="24"/>
        </w:rPr>
        <w:t>(EASME)</w:t>
      </w:r>
      <w:r w:rsidR="00440AA8">
        <w:rPr>
          <w:szCs w:val="24"/>
        </w:rPr>
        <w:t>.</w:t>
      </w:r>
    </w:p>
    <w:p w14:paraId="494271CF" w14:textId="77777777" w:rsidR="00D924A8" w:rsidRPr="00BE7FF4" w:rsidRDefault="00D924A8" w:rsidP="00D924A8">
      <w:pPr>
        <w:spacing w:after="0"/>
        <w:rPr>
          <w:szCs w:val="24"/>
        </w:rPr>
      </w:pPr>
    </w:p>
    <w:p w14:paraId="1514FD5A" w14:textId="30541188" w:rsidR="00D924A8" w:rsidRPr="00B4405D" w:rsidRDefault="00D924A8" w:rsidP="00D924A8">
      <w:pPr>
        <w:spacing w:after="0"/>
        <w:rPr>
          <w:szCs w:val="24"/>
        </w:rPr>
      </w:pPr>
      <w:proofErr w:type="spellStart"/>
      <w:r w:rsidRPr="009D0836">
        <w:rPr>
          <w:szCs w:val="24"/>
          <w:lang w:val="pt-PT"/>
        </w:rPr>
        <w:t>The</w:t>
      </w:r>
      <w:proofErr w:type="spellEnd"/>
      <w:r w:rsidRPr="009D0836">
        <w:rPr>
          <w:szCs w:val="24"/>
          <w:lang w:val="pt-PT"/>
        </w:rPr>
        <w:t xml:space="preserve"> </w:t>
      </w:r>
      <w:proofErr w:type="spellStart"/>
      <w:r w:rsidRPr="009D0836">
        <w:rPr>
          <w:szCs w:val="24"/>
          <w:lang w:val="pt-PT"/>
        </w:rPr>
        <w:t>following</w:t>
      </w:r>
      <w:proofErr w:type="spellEnd"/>
      <w:r w:rsidRPr="009D0836">
        <w:rPr>
          <w:szCs w:val="24"/>
          <w:lang w:val="pt-PT"/>
        </w:rPr>
        <w:t xml:space="preserve"> </w:t>
      </w:r>
      <w:proofErr w:type="spellStart"/>
      <w:r w:rsidRPr="009D0836">
        <w:rPr>
          <w:szCs w:val="24"/>
          <w:lang w:val="pt-PT"/>
        </w:rPr>
        <w:t>entit</w:t>
      </w:r>
      <w:r w:rsidR="009D0836" w:rsidRPr="009D0836">
        <w:rPr>
          <w:szCs w:val="24"/>
          <w:lang w:val="pt-PT"/>
        </w:rPr>
        <w:t>ie</w:t>
      </w:r>
      <w:r w:rsidR="009D0836">
        <w:rPr>
          <w:szCs w:val="24"/>
          <w:lang w:val="pt-PT"/>
        </w:rPr>
        <w:t>s</w:t>
      </w:r>
      <w:proofErr w:type="spellEnd"/>
      <w:r w:rsidRPr="006F5E07">
        <w:rPr>
          <w:szCs w:val="24"/>
          <w:lang w:val="pt-PT"/>
        </w:rPr>
        <w:t xml:space="preserve"> processes </w:t>
      </w:r>
      <w:proofErr w:type="spellStart"/>
      <w:r w:rsidRPr="006F5E07">
        <w:rPr>
          <w:szCs w:val="24"/>
          <w:lang w:val="pt-PT"/>
        </w:rPr>
        <w:t>your</w:t>
      </w:r>
      <w:proofErr w:type="spellEnd"/>
      <w:r w:rsidRPr="006F5E07">
        <w:rPr>
          <w:szCs w:val="24"/>
          <w:lang w:val="pt-PT"/>
        </w:rPr>
        <w:t xml:space="preserve"> </w:t>
      </w:r>
      <w:proofErr w:type="spellStart"/>
      <w:r w:rsidRPr="006F5E07">
        <w:rPr>
          <w:szCs w:val="24"/>
          <w:lang w:val="pt-PT"/>
        </w:rPr>
        <w:t>personal</w:t>
      </w:r>
      <w:proofErr w:type="spellEnd"/>
      <w:r w:rsidRPr="006F5E07">
        <w:rPr>
          <w:szCs w:val="24"/>
          <w:lang w:val="pt-PT"/>
        </w:rPr>
        <w:t xml:space="preserve"> data </w:t>
      </w:r>
      <w:proofErr w:type="spellStart"/>
      <w:r w:rsidRPr="006F5E07">
        <w:rPr>
          <w:szCs w:val="24"/>
          <w:lang w:val="pt-PT"/>
        </w:rPr>
        <w:t>on</w:t>
      </w:r>
      <w:proofErr w:type="spellEnd"/>
      <w:r w:rsidRPr="006F5E07">
        <w:rPr>
          <w:szCs w:val="24"/>
          <w:lang w:val="pt-PT"/>
        </w:rPr>
        <w:t xml:space="preserve"> </w:t>
      </w:r>
      <w:proofErr w:type="spellStart"/>
      <w:r w:rsidRPr="006F5E07">
        <w:rPr>
          <w:szCs w:val="24"/>
          <w:lang w:val="pt-PT"/>
        </w:rPr>
        <w:t>our</w:t>
      </w:r>
      <w:proofErr w:type="spellEnd"/>
      <w:r w:rsidRPr="006F5E07">
        <w:rPr>
          <w:szCs w:val="24"/>
          <w:lang w:val="pt-PT"/>
        </w:rPr>
        <w:t xml:space="preserve"> </w:t>
      </w:r>
      <w:proofErr w:type="spellStart"/>
      <w:r w:rsidRPr="006F5E07">
        <w:rPr>
          <w:szCs w:val="24"/>
          <w:lang w:val="pt-PT"/>
        </w:rPr>
        <w:t>behalf</w:t>
      </w:r>
      <w:proofErr w:type="spellEnd"/>
      <w:r w:rsidRPr="006F5E07">
        <w:rPr>
          <w:szCs w:val="24"/>
          <w:lang w:val="pt-PT"/>
        </w:rPr>
        <w:t xml:space="preserve">: Sociedade Portuguesa de Inovação (SPI), </w:t>
      </w:r>
      <w:proofErr w:type="spellStart"/>
      <w:r w:rsidRPr="006F5E07">
        <w:rPr>
          <w:szCs w:val="24"/>
          <w:lang w:val="pt-PT"/>
        </w:rPr>
        <w:t>located</w:t>
      </w:r>
      <w:proofErr w:type="spellEnd"/>
      <w:r w:rsidRPr="006F5E07">
        <w:rPr>
          <w:szCs w:val="24"/>
          <w:lang w:val="pt-PT"/>
        </w:rPr>
        <w:t xml:space="preserve"> </w:t>
      </w:r>
      <w:proofErr w:type="spellStart"/>
      <w:r w:rsidRPr="006F5E07">
        <w:rPr>
          <w:szCs w:val="24"/>
          <w:lang w:val="pt-PT"/>
        </w:rPr>
        <w:t>at</w:t>
      </w:r>
      <w:proofErr w:type="spellEnd"/>
      <w:r w:rsidRPr="006F5E07">
        <w:rPr>
          <w:szCs w:val="24"/>
          <w:lang w:val="pt-PT"/>
        </w:rPr>
        <w:t xml:space="preserve"> Avenida Marechal Gomes da Costa, 1376, 4150-356 Porto, Portugal. </w:t>
      </w:r>
      <w:r w:rsidRPr="00B4405D">
        <w:rPr>
          <w:szCs w:val="24"/>
        </w:rPr>
        <w:t xml:space="preserve">E-mail address: </w:t>
      </w:r>
      <w:hyperlink r:id="rId7" w:history="1">
        <w:r w:rsidRPr="00B4405D">
          <w:rPr>
            <w:rStyle w:val="Hiperligao"/>
            <w:szCs w:val="24"/>
          </w:rPr>
          <w:t>spiporto@spi.pt</w:t>
        </w:r>
      </w:hyperlink>
    </w:p>
    <w:p w14:paraId="61480F6E" w14:textId="77777777" w:rsidR="00D924A8" w:rsidRPr="00B4405D" w:rsidRDefault="00D924A8" w:rsidP="00D924A8">
      <w:pPr>
        <w:spacing w:after="0"/>
        <w:rPr>
          <w:b/>
          <w:szCs w:val="24"/>
        </w:rPr>
      </w:pPr>
    </w:p>
    <w:p w14:paraId="2484CF78" w14:textId="40D4C946" w:rsidR="00D924A8" w:rsidRDefault="00D924A8" w:rsidP="00D924A8">
      <w:pPr>
        <w:spacing w:after="0"/>
        <w:rPr>
          <w:color w:val="8496B0" w:themeColor="text2" w:themeTint="99"/>
          <w:szCs w:val="24"/>
        </w:rPr>
      </w:pPr>
      <w:r w:rsidRPr="00BE7FF4">
        <w:rPr>
          <w:b/>
          <w:szCs w:val="24"/>
        </w:rPr>
        <w:t>The legal basis</w:t>
      </w:r>
      <w:r w:rsidRPr="00BE7FF4">
        <w:rPr>
          <w:szCs w:val="24"/>
        </w:rPr>
        <w:t xml:space="preserve"> for the processing activities are</w:t>
      </w:r>
      <w:r w:rsidR="00706BF9">
        <w:rPr>
          <w:szCs w:val="24"/>
        </w:rPr>
        <w:t xml:space="preserve">: </w:t>
      </w:r>
      <w:r w:rsidRPr="00BE7FF4">
        <w:rPr>
          <w:color w:val="8496B0" w:themeColor="text2" w:themeTint="99"/>
          <w:szCs w:val="24"/>
        </w:rPr>
        <w:t xml:space="preserve"> </w:t>
      </w:r>
    </w:p>
    <w:p w14:paraId="161806A3" w14:textId="77777777" w:rsidR="00D924A8" w:rsidRPr="00BE7FF4" w:rsidRDefault="00D924A8" w:rsidP="00D924A8">
      <w:pPr>
        <w:spacing w:after="0"/>
        <w:rPr>
          <w:szCs w:val="24"/>
        </w:rPr>
      </w:pPr>
      <w:r w:rsidRPr="00BE7FF4">
        <w:rPr>
          <w:szCs w:val="24"/>
        </w:rPr>
        <w:t>- Article 5(1)(a) of Regulation (EU) 2018/1725 because processing is necessary for the performance of a task carried out in the public interest (or in the exercise of official authority vested in the Union institution or body)</w:t>
      </w:r>
      <w:r w:rsidRPr="00BE7FF4">
        <w:rPr>
          <w:rStyle w:val="Refdenotaderodap"/>
          <w:szCs w:val="24"/>
        </w:rPr>
        <w:footnoteReference w:id="3"/>
      </w:r>
      <w:r w:rsidRPr="00BE7FF4">
        <w:rPr>
          <w:szCs w:val="24"/>
        </w:rPr>
        <w:t xml:space="preserve">; </w:t>
      </w:r>
      <w:r w:rsidRPr="00BE7FF4">
        <w:rPr>
          <w:szCs w:val="24"/>
        </w:rPr>
        <w:br/>
        <w:t>- Article 5(1)(d) of Regulation (EU) 2018/1725 based on your explicit consent for your non- mandatory personal data indicated below.</w:t>
      </w:r>
    </w:p>
    <w:p w14:paraId="32C35F1A" w14:textId="77777777" w:rsidR="00D924A8" w:rsidRPr="00BE7FF4" w:rsidRDefault="00D924A8" w:rsidP="00D924A8">
      <w:pPr>
        <w:spacing w:after="0"/>
        <w:rPr>
          <w:b/>
          <w:szCs w:val="24"/>
        </w:rPr>
      </w:pPr>
    </w:p>
    <w:p w14:paraId="0C2431A7" w14:textId="27B4E552" w:rsidR="00D924A8" w:rsidRPr="00BE7FF4" w:rsidRDefault="00D924A8" w:rsidP="00D924A8">
      <w:pPr>
        <w:spacing w:after="0"/>
        <w:rPr>
          <w:szCs w:val="24"/>
        </w:rPr>
      </w:pPr>
      <w:r w:rsidRPr="00BE7FF4">
        <w:rPr>
          <w:b/>
          <w:szCs w:val="24"/>
        </w:rPr>
        <w:t>The purposes</w:t>
      </w:r>
      <w:r w:rsidRPr="00BE7FF4">
        <w:rPr>
          <w:szCs w:val="24"/>
        </w:rPr>
        <w:t xml:space="preserve"> of this processing are to register and manage the participation of interested persons to the </w:t>
      </w:r>
      <w:r w:rsidR="00706BF9">
        <w:rPr>
          <w:szCs w:val="24"/>
        </w:rPr>
        <w:t>“</w:t>
      </w:r>
      <w:r w:rsidR="00706BF9" w:rsidRPr="00706BF9">
        <w:rPr>
          <w:szCs w:val="24"/>
        </w:rPr>
        <w:t>Matchmaking Event - Towards COVID-19 vaccines upscale production</w:t>
      </w:r>
      <w:r w:rsidR="00706BF9">
        <w:rPr>
          <w:szCs w:val="24"/>
        </w:rPr>
        <w:t>”</w:t>
      </w:r>
      <w:r w:rsidRPr="00BE7FF4">
        <w:rPr>
          <w:szCs w:val="24"/>
        </w:rPr>
        <w:t xml:space="preserve">, to provide follow-up activities such as </w:t>
      </w:r>
      <w:r>
        <w:rPr>
          <w:szCs w:val="24"/>
        </w:rPr>
        <w:t xml:space="preserve">relevant information on the </w:t>
      </w:r>
      <w:r w:rsidRPr="00BE7FF4">
        <w:rPr>
          <w:szCs w:val="24"/>
        </w:rPr>
        <w:t xml:space="preserve">event and subject matter, and to </w:t>
      </w:r>
      <w:r>
        <w:rPr>
          <w:szCs w:val="24"/>
        </w:rPr>
        <w:t>follow-up with</w:t>
      </w:r>
      <w:r w:rsidRPr="00BE7FF4">
        <w:rPr>
          <w:szCs w:val="24"/>
        </w:rPr>
        <w:t xml:space="preserve"> the participants for event related feedback. </w:t>
      </w:r>
    </w:p>
    <w:p w14:paraId="639198E6" w14:textId="77777777" w:rsidR="00D924A8" w:rsidRPr="00BE7FF4" w:rsidRDefault="00D924A8" w:rsidP="00D924A8">
      <w:pPr>
        <w:spacing w:after="0"/>
        <w:rPr>
          <w:b/>
          <w:szCs w:val="24"/>
        </w:rPr>
      </w:pPr>
    </w:p>
    <w:p w14:paraId="63A3A976" w14:textId="52855ECD" w:rsidR="00D924A8" w:rsidRPr="00BE7FF4" w:rsidRDefault="00D924A8" w:rsidP="00D924A8">
      <w:pPr>
        <w:spacing w:after="0"/>
        <w:rPr>
          <w:szCs w:val="24"/>
        </w:rPr>
      </w:pPr>
      <w:r w:rsidRPr="00BE7FF4">
        <w:rPr>
          <w:b/>
          <w:szCs w:val="24"/>
        </w:rPr>
        <w:t>The following of your personal data are collected</w:t>
      </w:r>
      <w:r w:rsidRPr="00BE7FF4">
        <w:rPr>
          <w:szCs w:val="24"/>
        </w:rPr>
        <w:t>:</w:t>
      </w:r>
      <w:r w:rsidRPr="00BE7FF4">
        <w:rPr>
          <w:color w:val="8496B0" w:themeColor="text2" w:themeTint="99"/>
          <w:szCs w:val="24"/>
        </w:rPr>
        <w:t xml:space="preserve"> </w:t>
      </w:r>
      <w:r w:rsidRPr="006F5E07">
        <w:rPr>
          <w:szCs w:val="24"/>
        </w:rPr>
        <w:t xml:space="preserve">your first name, last name, job position/title, country, phone number and e-mail address are </w:t>
      </w:r>
      <w:r w:rsidRPr="006F5E07">
        <w:rPr>
          <w:b/>
          <w:szCs w:val="24"/>
        </w:rPr>
        <w:t>mandatory</w:t>
      </w:r>
      <w:r w:rsidRPr="006F5E07">
        <w:rPr>
          <w:szCs w:val="24"/>
        </w:rPr>
        <w:t xml:space="preserve"> for the purpose(s) outline above.</w:t>
      </w:r>
      <w:r w:rsidRPr="00BE7FF4">
        <w:rPr>
          <w:szCs w:val="24"/>
        </w:rPr>
        <w:t xml:space="preserve"> </w:t>
      </w:r>
    </w:p>
    <w:p w14:paraId="18A90204" w14:textId="77777777" w:rsidR="00D924A8" w:rsidRPr="00BE7FF4" w:rsidRDefault="00D924A8" w:rsidP="00D924A8">
      <w:pPr>
        <w:spacing w:after="0"/>
        <w:rPr>
          <w:szCs w:val="24"/>
        </w:rPr>
      </w:pPr>
    </w:p>
    <w:p w14:paraId="26BF0761" w14:textId="61CE55C0" w:rsidR="00D924A8" w:rsidRPr="00BE7FF4" w:rsidRDefault="00D924A8" w:rsidP="00D924A8">
      <w:pPr>
        <w:spacing w:after="0"/>
        <w:rPr>
          <w:szCs w:val="24"/>
          <w:lang w:val="en-US"/>
        </w:rPr>
      </w:pPr>
      <w:r w:rsidRPr="00BE7FF4">
        <w:rPr>
          <w:szCs w:val="24"/>
        </w:rPr>
        <w:t xml:space="preserve">In addition, the following </w:t>
      </w:r>
      <w:r w:rsidRPr="00BE7FF4">
        <w:rPr>
          <w:b/>
          <w:bCs/>
          <w:color w:val="000000"/>
          <w:szCs w:val="24"/>
        </w:rPr>
        <w:t>non-mandatory</w:t>
      </w:r>
      <w:r>
        <w:rPr>
          <w:bCs/>
          <w:color w:val="000000"/>
          <w:szCs w:val="24"/>
        </w:rPr>
        <w:t xml:space="preserve"> personal data may be</w:t>
      </w:r>
      <w:r w:rsidRPr="00BE7FF4">
        <w:rPr>
          <w:bCs/>
          <w:color w:val="000000"/>
          <w:szCs w:val="24"/>
        </w:rPr>
        <w:t xml:space="preserve"> collected: </w:t>
      </w:r>
      <w:r w:rsidRPr="006F5E07">
        <w:rPr>
          <w:bCs/>
          <w:color w:val="000000"/>
          <w:szCs w:val="24"/>
        </w:rPr>
        <w:t>your photos, videos, your Linked</w:t>
      </w:r>
      <w:r w:rsidR="009D0836">
        <w:rPr>
          <w:bCs/>
          <w:color w:val="000000"/>
          <w:szCs w:val="24"/>
        </w:rPr>
        <w:t>I</w:t>
      </w:r>
      <w:r w:rsidRPr="006F5E07">
        <w:rPr>
          <w:bCs/>
          <w:color w:val="000000"/>
          <w:szCs w:val="24"/>
        </w:rPr>
        <w:t>n/Twitter account, which you may have the opportunity to provide if you want, and will only be processed based on your explicit prior consent</w:t>
      </w:r>
      <w:r w:rsidRPr="009D0836">
        <w:rPr>
          <w:bCs/>
          <w:color w:val="000000"/>
          <w:szCs w:val="24"/>
        </w:rPr>
        <w:t>.</w:t>
      </w:r>
      <w:r w:rsidRPr="00BE7FF4">
        <w:rPr>
          <w:bCs/>
          <w:color w:val="000000"/>
          <w:szCs w:val="24"/>
        </w:rPr>
        <w:t xml:space="preserve"> </w:t>
      </w:r>
    </w:p>
    <w:p w14:paraId="098AE95C" w14:textId="77777777" w:rsidR="00D924A8" w:rsidRPr="00BE7FF4" w:rsidRDefault="00D924A8" w:rsidP="00D924A8">
      <w:pPr>
        <w:spacing w:after="0"/>
        <w:rPr>
          <w:color w:val="8496B0" w:themeColor="text2" w:themeTint="99"/>
          <w:szCs w:val="24"/>
          <w:lang w:val="en-US"/>
        </w:rPr>
      </w:pPr>
    </w:p>
    <w:p w14:paraId="31272F16" w14:textId="2F852318" w:rsidR="00D924A8" w:rsidRPr="00BE7FF4" w:rsidRDefault="00D924A8" w:rsidP="00D924A8">
      <w:pPr>
        <w:autoSpaceDE w:val="0"/>
        <w:autoSpaceDN w:val="0"/>
        <w:adjustRightInd w:val="0"/>
        <w:spacing w:after="0"/>
        <w:rPr>
          <w:rFonts w:asciiTheme="minorHAnsi" w:eastAsiaTheme="minorHAnsi" w:hAnsiTheme="minorHAnsi" w:cstheme="minorBidi"/>
          <w:sz w:val="22"/>
          <w:szCs w:val="22"/>
        </w:rPr>
      </w:pPr>
      <w:r w:rsidRPr="00BE7FF4">
        <w:t>Please not</w:t>
      </w:r>
      <w:r w:rsidR="002A0B54">
        <w:t>e that the event will</w:t>
      </w:r>
      <w:r>
        <w:t xml:space="preserve"> </w:t>
      </w:r>
      <w:r w:rsidR="009D0836" w:rsidRPr="006F5E07">
        <w:rPr>
          <w:b/>
        </w:rPr>
        <w:t>include two preparatory webinars</w:t>
      </w:r>
      <w:r w:rsidRPr="006F5E07">
        <w:t xml:space="preserve"> and it is possible that you will be recorded. It is also possible that </w:t>
      </w:r>
      <w:r w:rsidRPr="006F5E07">
        <w:rPr>
          <w:b/>
        </w:rPr>
        <w:t>photographs</w:t>
      </w:r>
      <w:r w:rsidRPr="006F5E07">
        <w:t xml:space="preserve"> of you will be taken during the event and might be used for related communication purposes.</w:t>
      </w:r>
    </w:p>
    <w:p w14:paraId="47462F77" w14:textId="77777777" w:rsidR="00D924A8" w:rsidRPr="00BE7FF4" w:rsidRDefault="00D924A8" w:rsidP="00D924A8">
      <w:pPr>
        <w:spacing w:after="0"/>
        <w:rPr>
          <w:b/>
          <w:bCs/>
          <w:szCs w:val="24"/>
        </w:rPr>
      </w:pPr>
    </w:p>
    <w:p w14:paraId="6A97C537" w14:textId="3E4587E1" w:rsidR="00D924A8" w:rsidRPr="00BE7FF4" w:rsidRDefault="00D924A8" w:rsidP="00D924A8">
      <w:pPr>
        <w:autoSpaceDE w:val="0"/>
        <w:autoSpaceDN w:val="0"/>
        <w:adjustRightInd w:val="0"/>
        <w:spacing w:after="0"/>
      </w:pPr>
      <w:r w:rsidRPr="00BE7FF4">
        <w:rPr>
          <w:b/>
          <w:szCs w:val="24"/>
        </w:rPr>
        <w:t xml:space="preserve">The recipients </w:t>
      </w:r>
      <w:r w:rsidRPr="00BE7FF4">
        <w:rPr>
          <w:szCs w:val="24"/>
        </w:rPr>
        <w:t>of your personal data will be</w:t>
      </w:r>
      <w:r>
        <w:rPr>
          <w:szCs w:val="24"/>
        </w:rPr>
        <w:t>:</w:t>
      </w:r>
      <w:r w:rsidRPr="00BE7FF4">
        <w:rPr>
          <w:szCs w:val="24"/>
        </w:rPr>
        <w:t xml:space="preserve"> </w:t>
      </w:r>
      <w:r>
        <w:rPr>
          <w:szCs w:val="24"/>
        </w:rPr>
        <w:t xml:space="preserve">the </w:t>
      </w:r>
      <w:r w:rsidRPr="006F5E07">
        <w:rPr>
          <w:szCs w:val="24"/>
        </w:rPr>
        <w:t xml:space="preserve">contractor SPI in charge of the organisation of this Matchmaking </w:t>
      </w:r>
      <w:r w:rsidRPr="006F5E07">
        <w:rPr>
          <w:shd w:val="clear" w:color="auto" w:fill="FFFFFF" w:themeFill="background1"/>
        </w:rPr>
        <w:t>Event and the contractor Ecorys Europe EEIG-GEIE;</w:t>
      </w:r>
      <w:r w:rsidRPr="006F5E07">
        <w:t xml:space="preserve"> </w:t>
      </w:r>
      <w:r w:rsidRPr="006F5E07">
        <w:lastRenderedPageBreak/>
        <w:t xml:space="preserve">the European Clusters Alliance (ECA) and the Council of European </w:t>
      </w:r>
      <w:proofErr w:type="spellStart"/>
      <w:r w:rsidRPr="006F5E07">
        <w:t>BioRegions</w:t>
      </w:r>
      <w:proofErr w:type="spellEnd"/>
      <w:r w:rsidRPr="006F5E07">
        <w:t xml:space="preserve"> (CEBR);</w:t>
      </w:r>
      <w:r>
        <w:t xml:space="preserve"> </w:t>
      </w:r>
      <w:r w:rsidR="00440AA8" w:rsidRPr="006F5E07">
        <w:rPr>
          <w:rStyle w:val="Hiperligao"/>
          <w:color w:val="000000" w:themeColor="text1"/>
          <w:szCs w:val="24"/>
          <w:u w:val="none"/>
        </w:rPr>
        <w:t>the members of the European Commission “</w:t>
      </w:r>
      <w:r w:rsidR="00440AA8" w:rsidRPr="009D0836">
        <w:rPr>
          <w:szCs w:val="24"/>
        </w:rPr>
        <w:t>Task Force for Industrial Scale-up of COVID-19 vaccines</w:t>
      </w:r>
      <w:r w:rsidR="00440AA8">
        <w:rPr>
          <w:szCs w:val="24"/>
        </w:rPr>
        <w:t xml:space="preserve">”; </w:t>
      </w:r>
      <w:r w:rsidRPr="00BE7FF4">
        <w:t xml:space="preserve">EASME </w:t>
      </w:r>
      <w:r>
        <w:t>and</w:t>
      </w:r>
      <w:r w:rsidRPr="00BE7FF4">
        <w:t xml:space="preserve"> </w:t>
      </w:r>
      <w:r w:rsidR="00440AA8">
        <w:t xml:space="preserve">the </w:t>
      </w:r>
      <w:r w:rsidR="00E56050">
        <w:t xml:space="preserve">European </w:t>
      </w:r>
      <w:r w:rsidRPr="00BE7FF4">
        <w:t>Commission</w:t>
      </w:r>
      <w:r>
        <w:t xml:space="preserve"> staff</w:t>
      </w:r>
      <w:r w:rsidRPr="00BE7FF4">
        <w:t xml:space="preserve"> in charge of th</w:t>
      </w:r>
      <w:r>
        <w:t>is</w:t>
      </w:r>
      <w:r w:rsidRPr="00BE7FF4">
        <w:t xml:space="preserve"> Matchmaking Event</w:t>
      </w:r>
      <w:r>
        <w:t>.</w:t>
      </w:r>
      <w:r w:rsidRPr="00373570">
        <w:t xml:space="preserve"> The collected personal data might also be communicated to</w:t>
      </w:r>
      <w:r w:rsidRPr="00BE7FF4">
        <w:rPr>
          <w:szCs w:val="24"/>
        </w:rPr>
        <w:t xml:space="preserve"> bodies charged with monitoring or inspection tasks in application of EU law (</w:t>
      </w:r>
      <w:proofErr w:type="gramStart"/>
      <w:r w:rsidRPr="00BE7FF4">
        <w:rPr>
          <w:szCs w:val="24"/>
        </w:rPr>
        <w:t>e.g.</w:t>
      </w:r>
      <w:proofErr w:type="gramEnd"/>
      <w:r w:rsidRPr="00BE7FF4">
        <w:rPr>
          <w:szCs w:val="24"/>
        </w:rPr>
        <w:t xml:space="preserve"> internal audits, Court of Auditors, European Anti-fraud Office (OLAF)).</w:t>
      </w:r>
    </w:p>
    <w:p w14:paraId="5B75B8C7" w14:textId="77777777" w:rsidR="00D924A8" w:rsidRPr="00BE7FF4" w:rsidRDefault="00D924A8" w:rsidP="00D924A8">
      <w:pPr>
        <w:autoSpaceDE w:val="0"/>
        <w:autoSpaceDN w:val="0"/>
        <w:adjustRightInd w:val="0"/>
        <w:spacing w:after="0"/>
        <w:rPr>
          <w:bCs/>
          <w:color w:val="000000"/>
          <w:szCs w:val="24"/>
        </w:rPr>
      </w:pPr>
    </w:p>
    <w:p w14:paraId="4E3E966A" w14:textId="77777777" w:rsidR="00D924A8" w:rsidRPr="00BE7FF4" w:rsidRDefault="00D924A8" w:rsidP="00D924A8">
      <w:pPr>
        <w:autoSpaceDE w:val="0"/>
        <w:autoSpaceDN w:val="0"/>
        <w:adjustRightInd w:val="0"/>
        <w:spacing w:after="0"/>
        <w:rPr>
          <w:rFonts w:eastAsia="Calibri"/>
          <w:color w:val="8496B0" w:themeColor="text2" w:themeTint="99"/>
          <w:szCs w:val="24"/>
          <w:lang w:val="en-US"/>
        </w:rPr>
      </w:pPr>
      <w:r w:rsidRPr="00BE7FF4">
        <w:rPr>
          <w:bCs/>
          <w:color w:val="000000"/>
          <w:szCs w:val="24"/>
        </w:rPr>
        <w:t xml:space="preserve">Your personal data </w:t>
      </w:r>
      <w:r w:rsidRPr="00BE7FF4">
        <w:rPr>
          <w:b/>
          <w:bCs/>
          <w:color w:val="000000"/>
          <w:szCs w:val="24"/>
        </w:rPr>
        <w:t>will not be transferred</w:t>
      </w:r>
      <w:r w:rsidRPr="00BE7FF4">
        <w:rPr>
          <w:bCs/>
          <w:color w:val="000000"/>
          <w:szCs w:val="24"/>
        </w:rPr>
        <w:t xml:space="preserve"> to third countries or international organisations. </w:t>
      </w:r>
      <w:r>
        <w:rPr>
          <w:bCs/>
          <w:color w:val="000000"/>
          <w:szCs w:val="24"/>
        </w:rPr>
        <w:t>P</w:t>
      </w:r>
      <w:r w:rsidRPr="0068383C">
        <w:rPr>
          <w:bCs/>
          <w:color w:val="000000"/>
          <w:szCs w:val="24"/>
        </w:rPr>
        <w:t>lease</w:t>
      </w:r>
      <w:r>
        <w:rPr>
          <w:bCs/>
          <w:color w:val="000000"/>
          <w:szCs w:val="24"/>
        </w:rPr>
        <w:t xml:space="preserve"> also</w:t>
      </w:r>
      <w:r w:rsidRPr="0068383C">
        <w:rPr>
          <w:bCs/>
          <w:color w:val="000000"/>
          <w:szCs w:val="24"/>
        </w:rPr>
        <w:t xml:space="preserve"> note that the ECCP uses </w:t>
      </w:r>
      <w:r>
        <w:rPr>
          <w:bCs/>
          <w:color w:val="000000"/>
          <w:szCs w:val="24"/>
        </w:rPr>
        <w:t xml:space="preserve">a </w:t>
      </w:r>
      <w:r w:rsidRPr="0068383C">
        <w:rPr>
          <w:bCs/>
          <w:color w:val="000000"/>
          <w:szCs w:val="24"/>
        </w:rPr>
        <w:t>third-party tool (</w:t>
      </w:r>
      <w:r>
        <w:rPr>
          <w:bCs/>
          <w:color w:val="000000"/>
          <w:szCs w:val="24"/>
        </w:rPr>
        <w:t>see</w:t>
      </w:r>
      <w:r w:rsidRPr="0068383C">
        <w:rPr>
          <w:bCs/>
          <w:color w:val="000000"/>
          <w:szCs w:val="24"/>
        </w:rPr>
        <w:t xml:space="preserve"> below) with their own privacy policy, which you are strongly suggested to read carefully.</w:t>
      </w:r>
    </w:p>
    <w:p w14:paraId="521D3E78" w14:textId="77777777" w:rsidR="00D924A8" w:rsidRPr="00706134" w:rsidRDefault="00D924A8" w:rsidP="00D924A8">
      <w:pPr>
        <w:spacing w:after="0"/>
        <w:rPr>
          <w:rFonts w:eastAsia="Calibri"/>
          <w:szCs w:val="24"/>
          <w:lang w:val="en-US"/>
        </w:rPr>
      </w:pPr>
    </w:p>
    <w:p w14:paraId="46F252E4" w14:textId="77777777" w:rsidR="00D924A8" w:rsidRPr="00BE7FF4" w:rsidRDefault="00D924A8" w:rsidP="00D924A8">
      <w:pPr>
        <w:spacing w:after="0"/>
        <w:rPr>
          <w:b/>
          <w:bCs/>
          <w:color w:val="000000"/>
          <w:szCs w:val="24"/>
        </w:rPr>
      </w:pPr>
      <w:r w:rsidRPr="00BE7FF4">
        <w:rPr>
          <w:rFonts w:eastAsia="Calibri"/>
          <w:szCs w:val="24"/>
        </w:rPr>
        <w:t xml:space="preserve">The </w:t>
      </w:r>
      <w:r w:rsidRPr="00BE7FF4">
        <w:rPr>
          <w:bCs/>
          <w:color w:val="000000"/>
          <w:szCs w:val="24"/>
        </w:rPr>
        <w:t>processing of your data will</w:t>
      </w:r>
      <w:r w:rsidRPr="00BE7FF4">
        <w:rPr>
          <w:b/>
          <w:bCs/>
          <w:color w:val="000000"/>
          <w:szCs w:val="24"/>
        </w:rPr>
        <w:t xml:space="preserve"> not include automated</w:t>
      </w:r>
      <w:r w:rsidRPr="00BE7FF4">
        <w:rPr>
          <w:b/>
          <w:szCs w:val="24"/>
        </w:rPr>
        <w:t xml:space="preserve"> decision-making</w:t>
      </w:r>
      <w:r w:rsidRPr="00BE7FF4">
        <w:rPr>
          <w:szCs w:val="24"/>
        </w:rPr>
        <w:t xml:space="preserve"> (such as profiling). </w:t>
      </w:r>
      <w:r w:rsidRPr="00BE7FF4" w:rsidDel="00822F2F">
        <w:rPr>
          <w:szCs w:val="24"/>
        </w:rPr>
        <w:t xml:space="preserve"> </w:t>
      </w:r>
    </w:p>
    <w:p w14:paraId="5962D1BD" w14:textId="77777777" w:rsidR="00D924A8" w:rsidRPr="00BE7FF4" w:rsidRDefault="00D924A8" w:rsidP="00D924A8">
      <w:pPr>
        <w:spacing w:after="0"/>
        <w:rPr>
          <w:b/>
          <w:szCs w:val="24"/>
        </w:rPr>
      </w:pPr>
    </w:p>
    <w:p w14:paraId="3F15227E" w14:textId="348F10A5" w:rsidR="00D924A8" w:rsidRPr="00BE7FF4" w:rsidRDefault="00D924A8" w:rsidP="00D924A8">
      <w:pPr>
        <w:spacing w:after="0"/>
        <w:rPr>
          <w:szCs w:val="24"/>
        </w:rPr>
      </w:pPr>
      <w:r w:rsidRPr="00BE7FF4">
        <w:rPr>
          <w:b/>
          <w:szCs w:val="24"/>
        </w:rPr>
        <w:t>Your personal data</w:t>
      </w:r>
      <w:r w:rsidRPr="00BE7FF4">
        <w:rPr>
          <w:szCs w:val="24"/>
        </w:rPr>
        <w:t xml:space="preserve"> will be kept for a maximum period of</w:t>
      </w:r>
      <w:r w:rsidRPr="00BE7FF4">
        <w:rPr>
          <w:b/>
          <w:szCs w:val="24"/>
        </w:rPr>
        <w:t xml:space="preserve"> </w:t>
      </w:r>
      <w:r w:rsidR="00706BF9" w:rsidRPr="006F5E07">
        <w:rPr>
          <w:b/>
          <w:szCs w:val="24"/>
        </w:rPr>
        <w:t>9</w:t>
      </w:r>
      <w:r w:rsidRPr="006F5E07">
        <w:rPr>
          <w:szCs w:val="24"/>
        </w:rPr>
        <w:t xml:space="preserve"> months after the event. Data will be manually deleted at the end of this period.</w:t>
      </w:r>
      <w:r w:rsidRPr="00BE7FF4">
        <w:rPr>
          <w:szCs w:val="24"/>
        </w:rPr>
        <w:t xml:space="preserve"> </w:t>
      </w:r>
    </w:p>
    <w:p w14:paraId="28D905A8" w14:textId="77777777" w:rsidR="00D924A8" w:rsidRPr="00BE7FF4" w:rsidRDefault="00D924A8" w:rsidP="00D924A8">
      <w:pPr>
        <w:spacing w:after="0"/>
        <w:rPr>
          <w:b/>
          <w:szCs w:val="24"/>
        </w:rPr>
      </w:pPr>
    </w:p>
    <w:p w14:paraId="28BAB541" w14:textId="77777777" w:rsidR="00D924A8" w:rsidRPr="00BE7FF4" w:rsidRDefault="00D924A8" w:rsidP="00D924A8">
      <w:pPr>
        <w:spacing w:after="0"/>
        <w:rPr>
          <w:szCs w:val="24"/>
        </w:rPr>
      </w:pPr>
      <w:r w:rsidRPr="00BE7FF4">
        <w:rPr>
          <w:b/>
          <w:szCs w:val="24"/>
        </w:rPr>
        <w:t>You have the right</w:t>
      </w:r>
      <w:r w:rsidRPr="00BE7FF4">
        <w:rPr>
          <w:szCs w:val="24"/>
        </w:rPr>
        <w:t xml:space="preserve"> to access your personal data and to request your personal data to be rectified, if the data is inaccurate or incomplete; where applicable, you have the right to request restriction or to object to processing, to request a copy or erasure of your personal data held by the data controller. </w:t>
      </w:r>
      <w:r w:rsidRPr="00BE7FF4">
        <w:rPr>
          <w:szCs w:val="24"/>
          <w:lang w:val="en-US"/>
        </w:rPr>
        <w:t xml:space="preserve">If processing is based on your consent, you have the right </w:t>
      </w:r>
      <w:r w:rsidRPr="00BE7FF4">
        <w:rPr>
          <w:szCs w:val="24"/>
        </w:rPr>
        <w:t>to withdraw your consent at any time, without affecting the lawfulness of the processing based on your consent before its withdrawal.</w:t>
      </w:r>
    </w:p>
    <w:p w14:paraId="1DC8536F" w14:textId="77777777" w:rsidR="00D924A8" w:rsidRPr="00BE7FF4" w:rsidRDefault="00D924A8" w:rsidP="00D924A8">
      <w:pPr>
        <w:spacing w:after="0"/>
        <w:rPr>
          <w:bCs/>
          <w:color w:val="000000"/>
          <w:szCs w:val="24"/>
        </w:rPr>
      </w:pPr>
    </w:p>
    <w:p w14:paraId="2935947B" w14:textId="77777777" w:rsidR="00D924A8" w:rsidRPr="00BE7FF4" w:rsidRDefault="00D924A8" w:rsidP="00D924A8">
      <w:pPr>
        <w:spacing w:after="0"/>
        <w:rPr>
          <w:b/>
          <w:bCs/>
          <w:color w:val="000000"/>
          <w:szCs w:val="24"/>
        </w:rPr>
      </w:pPr>
      <w:r w:rsidRPr="00BE7FF4">
        <w:rPr>
          <w:bCs/>
          <w:color w:val="000000"/>
          <w:szCs w:val="24"/>
        </w:rPr>
        <w:t xml:space="preserve">Your request to exercise one of the above rights will be dealt with without undue delay and within </w:t>
      </w:r>
      <w:r w:rsidRPr="00BE7FF4">
        <w:rPr>
          <w:b/>
          <w:bCs/>
          <w:color w:val="000000"/>
          <w:szCs w:val="24"/>
        </w:rPr>
        <w:t>one month</w:t>
      </w:r>
      <w:r w:rsidRPr="00BE7FF4">
        <w:rPr>
          <w:bCs/>
          <w:color w:val="000000"/>
          <w:szCs w:val="24"/>
        </w:rPr>
        <w:t xml:space="preserve">. </w:t>
      </w:r>
    </w:p>
    <w:p w14:paraId="078DED48" w14:textId="77777777" w:rsidR="00D924A8" w:rsidRPr="00BE7FF4" w:rsidRDefault="00D924A8" w:rsidP="00D924A8">
      <w:pPr>
        <w:spacing w:after="0"/>
        <w:rPr>
          <w:szCs w:val="24"/>
        </w:rPr>
      </w:pPr>
    </w:p>
    <w:p w14:paraId="6AD49847" w14:textId="13F275CE" w:rsidR="00D924A8" w:rsidRDefault="00D924A8" w:rsidP="00D924A8">
      <w:pPr>
        <w:spacing w:after="120"/>
        <w:rPr>
          <w:szCs w:val="24"/>
        </w:rPr>
      </w:pPr>
      <w:r w:rsidRPr="00481FA9">
        <w:rPr>
          <w:szCs w:val="24"/>
        </w:rPr>
        <w:t xml:space="preserve">If you have </w:t>
      </w:r>
      <w:r w:rsidRPr="00481FA9">
        <w:rPr>
          <w:b/>
          <w:szCs w:val="24"/>
        </w:rPr>
        <w:t>any queries</w:t>
      </w:r>
      <w:r w:rsidRPr="00481FA9">
        <w:rPr>
          <w:szCs w:val="24"/>
        </w:rPr>
        <w:t xml:space="preserve"> concerning the processing of your personal data, you may address them to </w:t>
      </w:r>
      <w:r w:rsidRPr="002B448B">
        <w:rPr>
          <w:szCs w:val="24"/>
        </w:rPr>
        <w:t>Head of Unit A1 (COSME)</w:t>
      </w:r>
      <w:r w:rsidRPr="002B448B" w:rsidDel="00EF3550">
        <w:rPr>
          <w:szCs w:val="24"/>
        </w:rPr>
        <w:t xml:space="preserve"> </w:t>
      </w:r>
      <w:r w:rsidRPr="002B448B">
        <w:rPr>
          <w:szCs w:val="24"/>
        </w:rPr>
        <w:t>(entity acting as data controller) via</w:t>
      </w:r>
      <w:r>
        <w:rPr>
          <w:szCs w:val="24"/>
        </w:rPr>
        <w:t xml:space="preserve">: </w:t>
      </w:r>
      <w:hyperlink r:id="rId8" w:history="1">
        <w:r w:rsidR="00D66B09" w:rsidRPr="00A058CD">
          <w:rPr>
            <w:rStyle w:val="Hiperligao"/>
            <w:szCs w:val="24"/>
          </w:rPr>
          <w:t>eumatchmaking@clustercollaboration.eu</w:t>
        </w:r>
      </w:hyperlink>
      <w:r w:rsidR="00D66B09">
        <w:rPr>
          <w:szCs w:val="24"/>
        </w:rPr>
        <w:t xml:space="preserve"> </w:t>
      </w:r>
    </w:p>
    <w:p w14:paraId="78E2D3AD" w14:textId="77777777" w:rsidR="00D924A8" w:rsidRPr="00481FA9" w:rsidRDefault="00D924A8" w:rsidP="00D924A8">
      <w:pPr>
        <w:spacing w:after="120"/>
        <w:rPr>
          <w:szCs w:val="24"/>
        </w:rPr>
      </w:pPr>
    </w:p>
    <w:p w14:paraId="30DF85AA" w14:textId="77777777" w:rsidR="00D924A8" w:rsidRDefault="00D924A8" w:rsidP="00D924A8">
      <w:pPr>
        <w:spacing w:after="120"/>
        <w:rPr>
          <w:szCs w:val="24"/>
        </w:rPr>
      </w:pPr>
      <w:r w:rsidRPr="00481FA9">
        <w:rPr>
          <w:b/>
          <w:szCs w:val="24"/>
        </w:rPr>
        <w:t>You shall have right</w:t>
      </w:r>
      <w:r w:rsidRPr="00481FA9">
        <w:rPr>
          <w:szCs w:val="24"/>
        </w:rPr>
        <w:t xml:space="preserve"> of recourse at any time to the EASME Data Protection Officer at </w:t>
      </w:r>
      <w:hyperlink r:id="rId9" w:history="1">
        <w:r w:rsidRPr="002B448B">
          <w:rPr>
            <w:rStyle w:val="Hiperligao"/>
            <w:szCs w:val="24"/>
          </w:rPr>
          <w:t>EASME-DPO@ec.europa.eu</w:t>
        </w:r>
      </w:hyperlink>
      <w:r w:rsidRPr="002B448B">
        <w:rPr>
          <w:szCs w:val="24"/>
        </w:rPr>
        <w:t xml:space="preserve"> </w:t>
      </w:r>
      <w:r w:rsidRPr="00481FA9">
        <w:rPr>
          <w:szCs w:val="24"/>
        </w:rPr>
        <w:t xml:space="preserve">and to the European Data Protection Supervisor at </w:t>
      </w:r>
      <w:hyperlink r:id="rId10" w:history="1">
        <w:r w:rsidRPr="00481FA9">
          <w:rPr>
            <w:rStyle w:val="Hiperligao"/>
            <w:szCs w:val="24"/>
          </w:rPr>
          <w:t>https://edps.europa.eu</w:t>
        </w:r>
      </w:hyperlink>
      <w:r w:rsidRPr="00481FA9">
        <w:rPr>
          <w:szCs w:val="24"/>
        </w:rPr>
        <w:t>.</w:t>
      </w:r>
    </w:p>
    <w:p w14:paraId="0A17A14E" w14:textId="77777777" w:rsidR="00D924A8" w:rsidRDefault="00D924A8" w:rsidP="00D924A8">
      <w:pPr>
        <w:spacing w:after="120"/>
        <w:rPr>
          <w:szCs w:val="24"/>
        </w:rPr>
      </w:pPr>
    </w:p>
    <w:p w14:paraId="4793D8F2" w14:textId="77777777" w:rsidR="00D924A8" w:rsidRPr="00BE7FF4" w:rsidRDefault="00D924A8" w:rsidP="00D924A8">
      <w:pPr>
        <w:spacing w:after="0"/>
        <w:rPr>
          <w:szCs w:val="24"/>
        </w:rPr>
      </w:pPr>
    </w:p>
    <w:p w14:paraId="0DF68AD1" w14:textId="77777777" w:rsidR="00D924A8" w:rsidRDefault="00D924A8" w:rsidP="00D924A8">
      <w:pPr>
        <w:spacing w:after="120"/>
        <w:rPr>
          <w:b/>
          <w:szCs w:val="24"/>
        </w:rPr>
      </w:pPr>
      <w:r>
        <w:rPr>
          <w:b/>
          <w:szCs w:val="24"/>
        </w:rPr>
        <w:t>Third party tool</w:t>
      </w:r>
    </w:p>
    <w:p w14:paraId="463831AB" w14:textId="77777777" w:rsidR="00D924A8" w:rsidRPr="00F27461" w:rsidRDefault="00D924A8" w:rsidP="00D924A8">
      <w:pPr>
        <w:spacing w:after="120"/>
        <w:rPr>
          <w:b/>
          <w:szCs w:val="24"/>
        </w:rPr>
      </w:pPr>
      <w:r w:rsidRPr="00F27461">
        <w:rPr>
          <w:b/>
          <w:szCs w:val="24"/>
        </w:rPr>
        <w:t>B2Match</w:t>
      </w:r>
    </w:p>
    <w:p w14:paraId="74D63A5F" w14:textId="579E1E06" w:rsidR="00D924A8" w:rsidRDefault="00D924A8" w:rsidP="00D924A8">
      <w:pPr>
        <w:spacing w:after="120"/>
      </w:pPr>
      <w:r>
        <w:rPr>
          <w:szCs w:val="24"/>
        </w:rPr>
        <w:t xml:space="preserve">For the purpose of facilitating match-making events, B2Match, a </w:t>
      </w:r>
      <w:r w:rsidR="009D0836">
        <w:rPr>
          <w:szCs w:val="24"/>
        </w:rPr>
        <w:t>third-party</w:t>
      </w:r>
      <w:r>
        <w:rPr>
          <w:szCs w:val="24"/>
        </w:rPr>
        <w:t xml:space="preserve"> tool managed by SPI, collects personal data. B2Match’s privacy policy can be found here: </w:t>
      </w:r>
      <w:hyperlink r:id="rId11" w:history="1">
        <w:r>
          <w:rPr>
            <w:rStyle w:val="Hiperligao"/>
          </w:rPr>
          <w:t>https://www.b2match.com/privacy-policy</w:t>
        </w:r>
      </w:hyperlink>
    </w:p>
    <w:p w14:paraId="598A32C4" w14:textId="77777777" w:rsidR="00D924A8" w:rsidRDefault="00D924A8" w:rsidP="00D924A8">
      <w:pPr>
        <w:spacing w:after="120"/>
        <w:rPr>
          <w:sz w:val="20"/>
        </w:rPr>
      </w:pPr>
    </w:p>
    <w:p w14:paraId="25CA648B" w14:textId="77777777" w:rsidR="00D924A8" w:rsidRPr="0068383C" w:rsidRDefault="00D924A8" w:rsidP="00D924A8">
      <w:pPr>
        <w:rPr>
          <w:rFonts w:asciiTheme="minorHAnsi" w:hAnsiTheme="minorHAnsi"/>
          <w:szCs w:val="24"/>
        </w:rPr>
      </w:pPr>
    </w:p>
    <w:p w14:paraId="607FEC14" w14:textId="77777777" w:rsidR="00D924A8" w:rsidRDefault="00D924A8" w:rsidP="00D924A8"/>
    <w:p w14:paraId="2690B553" w14:textId="77777777" w:rsidR="00221294" w:rsidRDefault="00221294"/>
    <w:sectPr w:rsidR="00221294" w:rsidSect="00BA6DA9">
      <w:footerReference w:type="default" r:id="rId12"/>
      <w:headerReference w:type="first" r:id="rId13"/>
      <w:footerReference w:type="first" r:id="rId14"/>
      <w:pgSz w:w="11906" w:h="16838"/>
      <w:pgMar w:top="1020" w:right="1701" w:bottom="851" w:left="1587" w:header="601" w:footer="6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01144" w14:textId="77777777" w:rsidR="0092079D" w:rsidRDefault="0092079D" w:rsidP="00D924A8">
      <w:pPr>
        <w:spacing w:after="0"/>
      </w:pPr>
      <w:r>
        <w:separator/>
      </w:r>
    </w:p>
  </w:endnote>
  <w:endnote w:type="continuationSeparator" w:id="0">
    <w:p w14:paraId="022B1309" w14:textId="77777777" w:rsidR="0092079D" w:rsidRDefault="0092079D" w:rsidP="00D92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BB40" w14:textId="4BC9D0EE" w:rsidR="00626907" w:rsidRDefault="00E56050">
    <w:pPr>
      <w:pStyle w:val="Rodap"/>
      <w:jc w:val="center"/>
    </w:pPr>
    <w:r>
      <w:fldChar w:fldCharType="begin"/>
    </w:r>
    <w:r>
      <w:instrText>PAGE</w:instrText>
    </w:r>
    <w:r>
      <w:fldChar w:fldCharType="separate"/>
    </w:r>
    <w:r w:rsidR="001D69D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0496" w14:textId="77777777" w:rsidR="00B230E1" w:rsidRDefault="0092079D" w:rsidP="00B230E1">
    <w:pPr>
      <w:pStyle w:val="Rodap"/>
      <w:rPr>
        <w:rFonts w:eastAsiaTheme="minorHAnsi"/>
      </w:rPr>
    </w:pPr>
  </w:p>
  <w:p w14:paraId="5591AFFB" w14:textId="77777777" w:rsidR="00626907" w:rsidRDefault="009207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37B6" w14:textId="77777777" w:rsidR="0092079D" w:rsidRDefault="0092079D" w:rsidP="00D924A8">
      <w:pPr>
        <w:spacing w:after="0"/>
      </w:pPr>
      <w:r>
        <w:separator/>
      </w:r>
    </w:p>
  </w:footnote>
  <w:footnote w:type="continuationSeparator" w:id="0">
    <w:p w14:paraId="4193A07F" w14:textId="77777777" w:rsidR="0092079D" w:rsidRDefault="0092079D" w:rsidP="00D924A8">
      <w:pPr>
        <w:spacing w:after="0"/>
      </w:pPr>
      <w:r>
        <w:continuationSeparator/>
      </w:r>
    </w:p>
  </w:footnote>
  <w:footnote w:id="1">
    <w:p w14:paraId="50B5BB5C" w14:textId="77777777" w:rsidR="00D924A8" w:rsidRPr="00F64C2C" w:rsidRDefault="00D924A8" w:rsidP="00D924A8">
      <w:pPr>
        <w:pStyle w:val="Textodenotaderodap"/>
        <w:spacing w:after="0"/>
        <w:ind w:left="142" w:hanging="142"/>
        <w:rPr>
          <w:sz w:val="18"/>
          <w:szCs w:val="18"/>
        </w:rPr>
      </w:pPr>
      <w:r w:rsidRPr="00775602">
        <w:rPr>
          <w:rStyle w:val="Refdenotaderodap"/>
          <w:sz w:val="18"/>
          <w:szCs w:val="18"/>
        </w:rPr>
        <w:footnoteRef/>
      </w:r>
      <w:r w:rsidRPr="00775602">
        <w:rPr>
          <w:sz w:val="18"/>
          <w:szCs w:val="18"/>
        </w:rPr>
        <w:t xml:space="preserve"> </w:t>
      </w:r>
      <w:hyperlink r:id="rId1" w:history="1">
        <w:r w:rsidRPr="00F64C2C">
          <w:rPr>
            <w:rStyle w:val="Hiperligao"/>
            <w:sz w:val="18"/>
            <w:szCs w:val="18"/>
            <w:lang w:val="en-US"/>
          </w:rPr>
          <w:t xml:space="preserve">Regulation (EU) 2018/1725 of the European Parliament and of </w:t>
        </w:r>
        <w:proofErr w:type="gramStart"/>
        <w:r w:rsidRPr="00F64C2C">
          <w:rPr>
            <w:rStyle w:val="Hiperligao"/>
            <w:sz w:val="18"/>
            <w:szCs w:val="18"/>
            <w:lang w:val="en-US"/>
          </w:rPr>
          <w:t>the  Council</w:t>
        </w:r>
        <w:proofErr w:type="gramEnd"/>
        <w:r w:rsidRPr="00F64C2C">
          <w:rPr>
            <w:rStyle w:val="Hiperligao"/>
            <w:sz w:val="18"/>
            <w:szCs w:val="18"/>
            <w:lang w:val="en-US"/>
          </w:rPr>
          <w:t xml:space="preserve"> of 23 October 2018 on the protection of natural persons with regard to the processing of personal data by the Union institutions, bodies, offices and agencies and on the free movement of such data, and repealing Regulation (EC) No 45/2001 and Decision No 1247/2002/EC</w:t>
        </w:r>
      </w:hyperlink>
      <w:r w:rsidRPr="00F64C2C">
        <w:rPr>
          <w:sz w:val="18"/>
          <w:szCs w:val="18"/>
          <w:lang w:val="en-US"/>
        </w:rPr>
        <w:t xml:space="preserve"> (OJ L295/39 of 21.11.2018).</w:t>
      </w:r>
    </w:p>
  </w:footnote>
  <w:footnote w:id="2">
    <w:p w14:paraId="66E1A42B" w14:textId="77777777" w:rsidR="00D924A8" w:rsidRPr="00517AB1" w:rsidRDefault="00D924A8" w:rsidP="00D924A8">
      <w:pPr>
        <w:pStyle w:val="Textodenotaderodap"/>
        <w:spacing w:after="0"/>
        <w:ind w:left="142" w:hanging="142"/>
        <w:rPr>
          <w:sz w:val="18"/>
          <w:szCs w:val="18"/>
          <w:lang w:val="en-US"/>
        </w:rPr>
      </w:pPr>
      <w:r w:rsidRPr="00517AB1">
        <w:rPr>
          <w:rStyle w:val="Refdenotaderodap"/>
          <w:sz w:val="18"/>
          <w:szCs w:val="18"/>
        </w:rPr>
        <w:footnoteRef/>
      </w:r>
      <w:r w:rsidRPr="00517AB1">
        <w:rPr>
          <w:sz w:val="18"/>
          <w:szCs w:val="18"/>
        </w:rPr>
        <w:t xml:space="preserve"> Regulation (EU) No 1287/2013 of the European Parliament and of the Council of 11 December 2013 establishing a Programme for the Competitiveness of Enterprises and small and medium-sized enterprises (COSME) (2014 - 2020)</w:t>
      </w:r>
      <w:r w:rsidRPr="00517AB1">
        <w:rPr>
          <w:sz w:val="18"/>
          <w:szCs w:val="18"/>
          <w:lang w:val="en-US"/>
        </w:rPr>
        <w:t>.</w:t>
      </w:r>
    </w:p>
  </w:footnote>
  <w:footnote w:id="3">
    <w:p w14:paraId="7963E71A" w14:textId="77777777" w:rsidR="00D924A8" w:rsidRPr="00F64C2C" w:rsidRDefault="00D924A8" w:rsidP="00D924A8">
      <w:pPr>
        <w:pStyle w:val="Textodenotaderodap"/>
        <w:spacing w:after="0"/>
        <w:ind w:left="142" w:hanging="142"/>
        <w:rPr>
          <w:sz w:val="18"/>
          <w:szCs w:val="18"/>
        </w:rPr>
      </w:pPr>
      <w:r w:rsidRPr="00F64C2C">
        <w:rPr>
          <w:rStyle w:val="Refdenotaderodap"/>
          <w:sz w:val="18"/>
          <w:szCs w:val="18"/>
        </w:rPr>
        <w:footnoteRef/>
      </w:r>
      <w:r w:rsidRPr="00F64C2C">
        <w:rPr>
          <w:sz w:val="18"/>
          <w:szCs w:val="18"/>
        </w:rPr>
        <w:t xml:space="preserve"> </w:t>
      </w:r>
      <w:r w:rsidRPr="00F64C2C">
        <w:rPr>
          <w:sz w:val="18"/>
          <w:szCs w:val="18"/>
          <w:lang w:val="en"/>
        </w:rPr>
        <w:t>Act of Establishment: Commission Implementing Decision C(2013/771/EU) of 17 December 2013 establishing the 'Executive Agency for Small and Medium-sized Enterprises' and repealing Decisions 2004/20/EC and 2007/372/EC</w:t>
      </w:r>
      <w:r>
        <w:rPr>
          <w:sz w:val="18"/>
          <w:szCs w:val="18"/>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6C81" w14:textId="77777777" w:rsidR="00626907" w:rsidRDefault="0092079D">
    <w:pPr>
      <w:pStyle w:val="Cabealho"/>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A8"/>
    <w:rsid w:val="001D69DC"/>
    <w:rsid w:val="00221294"/>
    <w:rsid w:val="002A0B54"/>
    <w:rsid w:val="002B4A3D"/>
    <w:rsid w:val="00440AA8"/>
    <w:rsid w:val="005D6969"/>
    <w:rsid w:val="0061331A"/>
    <w:rsid w:val="006F5E07"/>
    <w:rsid w:val="00706BF9"/>
    <w:rsid w:val="0092079D"/>
    <w:rsid w:val="009D0836"/>
    <w:rsid w:val="00A01FFE"/>
    <w:rsid w:val="00D66B09"/>
    <w:rsid w:val="00D924A8"/>
    <w:rsid w:val="00E560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8292"/>
  <w15:chartTrackingRefBased/>
  <w15:docId w15:val="{9CE1B790-67B9-408A-88B1-39D7864C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A8"/>
    <w:pPr>
      <w:spacing w:after="240" w:line="240" w:lineRule="auto"/>
      <w:jc w:val="both"/>
    </w:pPr>
    <w:rPr>
      <w:rFonts w:ascii="Times New Roman" w:eastAsia="Times New Roman" w:hAnsi="Times New Roman" w:cs="Times New Roman"/>
      <w:sz w:val="24"/>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rsid w:val="00D924A8"/>
    <w:pPr>
      <w:spacing w:after="0"/>
      <w:ind w:right="-567"/>
      <w:jc w:val="left"/>
    </w:pPr>
    <w:rPr>
      <w:rFonts w:ascii="Arial" w:hAnsi="Arial"/>
      <w:sz w:val="16"/>
    </w:rPr>
  </w:style>
  <w:style w:type="character" w:customStyle="1" w:styleId="RodapCarter">
    <w:name w:val="Rodapé Caráter"/>
    <w:basedOn w:val="Tipodeletrapredefinidodopargrafo"/>
    <w:link w:val="Rodap"/>
    <w:uiPriority w:val="99"/>
    <w:rsid w:val="00D924A8"/>
    <w:rPr>
      <w:rFonts w:ascii="Arial" w:eastAsia="Times New Roman" w:hAnsi="Arial" w:cs="Times New Roman"/>
      <w:sz w:val="16"/>
      <w:szCs w:val="20"/>
      <w:lang w:val="en-GB"/>
    </w:rPr>
  </w:style>
  <w:style w:type="paragraph" w:styleId="Textodenotaderodap">
    <w:name w:val="footnote text"/>
    <w:basedOn w:val="Normal"/>
    <w:link w:val="TextodenotaderodapCarter"/>
    <w:semiHidden/>
    <w:rsid w:val="00D924A8"/>
    <w:pPr>
      <w:ind w:left="357" w:hanging="357"/>
    </w:pPr>
    <w:rPr>
      <w:sz w:val="20"/>
    </w:rPr>
  </w:style>
  <w:style w:type="character" w:customStyle="1" w:styleId="TextodenotaderodapCarter">
    <w:name w:val="Texto de nota de rodapé Caráter"/>
    <w:basedOn w:val="Tipodeletrapredefinidodopargrafo"/>
    <w:link w:val="Textodenotaderodap"/>
    <w:semiHidden/>
    <w:rsid w:val="00D924A8"/>
    <w:rPr>
      <w:rFonts w:ascii="Times New Roman" w:eastAsia="Times New Roman" w:hAnsi="Times New Roman" w:cs="Times New Roman"/>
      <w:sz w:val="20"/>
      <w:szCs w:val="20"/>
      <w:lang w:val="en-GB"/>
    </w:rPr>
  </w:style>
  <w:style w:type="paragraph" w:styleId="Cabealho">
    <w:name w:val="header"/>
    <w:basedOn w:val="Normal"/>
    <w:link w:val="CabealhoCarter"/>
    <w:uiPriority w:val="99"/>
    <w:rsid w:val="00D924A8"/>
    <w:pPr>
      <w:tabs>
        <w:tab w:val="center" w:pos="4153"/>
        <w:tab w:val="right" w:pos="8306"/>
      </w:tabs>
    </w:pPr>
  </w:style>
  <w:style w:type="character" w:customStyle="1" w:styleId="CabealhoCarter">
    <w:name w:val="Cabeçalho Caráter"/>
    <w:basedOn w:val="Tipodeletrapredefinidodopargrafo"/>
    <w:link w:val="Cabealho"/>
    <w:uiPriority w:val="99"/>
    <w:rsid w:val="00D924A8"/>
    <w:rPr>
      <w:rFonts w:ascii="Times New Roman" w:eastAsia="Times New Roman" w:hAnsi="Times New Roman" w:cs="Times New Roman"/>
      <w:sz w:val="24"/>
      <w:szCs w:val="20"/>
      <w:lang w:val="en-GB"/>
    </w:rPr>
  </w:style>
  <w:style w:type="paragraph" w:customStyle="1" w:styleId="ZCom">
    <w:name w:val="Z_Com"/>
    <w:basedOn w:val="Normal"/>
    <w:next w:val="ZDGName"/>
    <w:uiPriority w:val="99"/>
    <w:rsid w:val="00D924A8"/>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D924A8"/>
    <w:pPr>
      <w:widowControl w:val="0"/>
      <w:autoSpaceDE w:val="0"/>
      <w:autoSpaceDN w:val="0"/>
      <w:spacing w:after="0"/>
      <w:ind w:right="85"/>
      <w:jc w:val="left"/>
    </w:pPr>
    <w:rPr>
      <w:rFonts w:ascii="Arial" w:eastAsiaTheme="minorEastAsia" w:hAnsi="Arial" w:cs="Arial"/>
      <w:sz w:val="16"/>
      <w:szCs w:val="16"/>
      <w:lang w:eastAsia="en-GB"/>
    </w:rPr>
  </w:style>
  <w:style w:type="character" w:styleId="Hiperligao">
    <w:name w:val="Hyperlink"/>
    <w:basedOn w:val="Tipodeletrapredefinidodopargrafo"/>
    <w:uiPriority w:val="99"/>
    <w:unhideWhenUsed/>
    <w:rsid w:val="00D924A8"/>
    <w:rPr>
      <w:color w:val="0563C1" w:themeColor="hyperlink"/>
      <w:u w:val="single"/>
    </w:rPr>
  </w:style>
  <w:style w:type="character" w:styleId="Refdenotaderodap">
    <w:name w:val="footnote reference"/>
    <w:basedOn w:val="Tipodeletrapredefinidodopargrafo"/>
    <w:uiPriority w:val="99"/>
    <w:semiHidden/>
    <w:unhideWhenUsed/>
    <w:rsid w:val="00D924A8"/>
    <w:rPr>
      <w:vertAlign w:val="superscript"/>
    </w:rPr>
  </w:style>
  <w:style w:type="character" w:styleId="Refdecomentrio">
    <w:name w:val="annotation reference"/>
    <w:basedOn w:val="Tipodeletrapredefinidodopargrafo"/>
    <w:uiPriority w:val="99"/>
    <w:semiHidden/>
    <w:unhideWhenUsed/>
    <w:rsid w:val="005D6969"/>
    <w:rPr>
      <w:sz w:val="16"/>
      <w:szCs w:val="16"/>
    </w:rPr>
  </w:style>
  <w:style w:type="paragraph" w:styleId="Textodecomentrio">
    <w:name w:val="annotation text"/>
    <w:basedOn w:val="Normal"/>
    <w:link w:val="TextodecomentrioCarter"/>
    <w:uiPriority w:val="99"/>
    <w:semiHidden/>
    <w:unhideWhenUsed/>
    <w:rsid w:val="005D6969"/>
    <w:rPr>
      <w:sz w:val="20"/>
    </w:rPr>
  </w:style>
  <w:style w:type="character" w:customStyle="1" w:styleId="TextodecomentrioCarter">
    <w:name w:val="Texto de comentário Caráter"/>
    <w:basedOn w:val="Tipodeletrapredefinidodopargrafo"/>
    <w:link w:val="Textodecomentrio"/>
    <w:uiPriority w:val="99"/>
    <w:semiHidden/>
    <w:rsid w:val="005D6969"/>
    <w:rPr>
      <w:rFonts w:ascii="Times New Roman" w:eastAsia="Times New Roman" w:hAnsi="Times New Roman" w:cs="Times New Roman"/>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5D6969"/>
    <w:rPr>
      <w:b/>
      <w:bCs/>
    </w:rPr>
  </w:style>
  <w:style w:type="character" w:customStyle="1" w:styleId="AssuntodecomentrioCarter">
    <w:name w:val="Assunto de comentário Caráter"/>
    <w:basedOn w:val="TextodecomentrioCarter"/>
    <w:link w:val="Assuntodecomentrio"/>
    <w:uiPriority w:val="99"/>
    <w:semiHidden/>
    <w:rsid w:val="005D6969"/>
    <w:rPr>
      <w:rFonts w:ascii="Times New Roman" w:eastAsia="Times New Roman" w:hAnsi="Times New Roman" w:cs="Times New Roman"/>
      <w:b/>
      <w:bCs/>
      <w:sz w:val="20"/>
      <w:szCs w:val="20"/>
      <w:lang w:val="en-GB"/>
    </w:rPr>
  </w:style>
  <w:style w:type="paragraph" w:styleId="Textodebalo">
    <w:name w:val="Balloon Text"/>
    <w:basedOn w:val="Normal"/>
    <w:link w:val="TextodebaloCarter"/>
    <w:uiPriority w:val="99"/>
    <w:semiHidden/>
    <w:unhideWhenUsed/>
    <w:rsid w:val="005D6969"/>
    <w:pPr>
      <w:spacing w:after="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D6969"/>
    <w:rPr>
      <w:rFonts w:ascii="Segoe UI" w:eastAsia="Times New Roman" w:hAnsi="Segoe UI" w:cs="Segoe UI"/>
      <w:sz w:val="18"/>
      <w:szCs w:val="18"/>
      <w:lang w:val="en-GB"/>
    </w:rPr>
  </w:style>
  <w:style w:type="character" w:customStyle="1" w:styleId="MenoNoResolvida1">
    <w:name w:val="Menção Não Resolvida1"/>
    <w:basedOn w:val="Tipodeletrapredefinidodopargrafo"/>
    <w:uiPriority w:val="99"/>
    <w:semiHidden/>
    <w:unhideWhenUsed/>
    <w:rsid w:val="00D66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matchmaking@clustercollaboration.e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piporto@spi.pt"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2match.com/privacy-polic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dps.europa.eu" TargetMode="External"/><Relationship Id="rId4" Type="http://schemas.openxmlformats.org/officeDocument/2006/relationships/footnotes" Target="footnotes.xml"/><Relationship Id="rId9" Type="http://schemas.openxmlformats.org/officeDocument/2006/relationships/hyperlink" Target="mailto:EASME-DPO@ec.europa.e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uriserv:OJ.L_.2018.295.01.0039.01.ENG&amp;toc=OJ:L:2018:2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CARUDA Marta (EASME)</dc:creator>
  <cp:keywords/>
  <dc:description/>
  <cp:lastModifiedBy>danielabcoutinho</cp:lastModifiedBy>
  <cp:revision>2</cp:revision>
  <dcterms:created xsi:type="dcterms:W3CDTF">2021-03-09T16:53:00Z</dcterms:created>
  <dcterms:modified xsi:type="dcterms:W3CDTF">2021-03-09T16:53:00Z</dcterms:modified>
</cp:coreProperties>
</file>